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1D3B5" w14:textId="1FC0EA1A" w:rsidR="00893DC9" w:rsidRPr="00763E17" w:rsidRDefault="007A2145" w:rsidP="003C71BC">
      <w:pPr>
        <w:spacing w:after="0" w:line="240" w:lineRule="auto"/>
        <w:jc w:val="both"/>
      </w:pPr>
      <w:bookmarkStart w:id="0" w:name="_Hlk187138771"/>
      <w:r>
        <w:rPr>
          <w:b/>
          <w:bCs/>
          <w:sz w:val="48"/>
          <w:szCs w:val="48"/>
          <w:u w:val="single"/>
        </w:rPr>
        <w:t xml:space="preserve">Příloha 1: </w:t>
      </w:r>
      <w:r w:rsidR="00B95B16">
        <w:rPr>
          <w:b/>
          <w:bCs/>
          <w:sz w:val="48"/>
          <w:szCs w:val="48"/>
          <w:u w:val="single"/>
        </w:rPr>
        <w:t xml:space="preserve">Oceněné </w:t>
      </w:r>
      <w:r w:rsidR="003C71BC" w:rsidRPr="00763E17">
        <w:rPr>
          <w:b/>
          <w:bCs/>
          <w:sz w:val="48"/>
          <w:szCs w:val="48"/>
          <w:u w:val="single"/>
        </w:rPr>
        <w:t xml:space="preserve">Projekty roku 2024 </w:t>
      </w:r>
      <w:r w:rsidR="00B95B16">
        <w:rPr>
          <w:b/>
          <w:bCs/>
          <w:sz w:val="48"/>
          <w:szCs w:val="48"/>
          <w:u w:val="single"/>
        </w:rPr>
        <w:t xml:space="preserve">jejich </w:t>
      </w:r>
      <w:r w:rsidR="00893DC9" w:rsidRPr="00763E17">
        <w:rPr>
          <w:b/>
          <w:bCs/>
          <w:sz w:val="48"/>
          <w:szCs w:val="48"/>
          <w:u w:val="single"/>
        </w:rPr>
        <w:t>popisy</w:t>
      </w:r>
    </w:p>
    <w:p w14:paraId="0ED99CB0" w14:textId="77777777" w:rsidR="00B95B16" w:rsidRDefault="00B95B16" w:rsidP="003C71BC">
      <w:pPr>
        <w:spacing w:after="0" w:line="240" w:lineRule="auto"/>
        <w:jc w:val="both"/>
        <w:rPr>
          <w:rFonts w:cstheme="minorHAnsi"/>
          <w:b/>
          <w:bCs/>
          <w:sz w:val="21"/>
          <w:szCs w:val="21"/>
          <w:highlight w:val="green"/>
        </w:rPr>
      </w:pPr>
      <w:bookmarkStart w:id="1" w:name="_Hlk187304649"/>
    </w:p>
    <w:p w14:paraId="5424188C" w14:textId="5542932E" w:rsidR="003C71BC" w:rsidRPr="00763E17" w:rsidRDefault="003C71BC" w:rsidP="003C71BC">
      <w:pPr>
        <w:spacing w:after="0" w:line="240" w:lineRule="auto"/>
        <w:jc w:val="both"/>
        <w:rPr>
          <w:rFonts w:cstheme="minorHAnsi"/>
          <w:b/>
          <w:bCs/>
          <w:sz w:val="21"/>
          <w:szCs w:val="21"/>
        </w:rPr>
      </w:pPr>
      <w:r w:rsidRPr="00763E17">
        <w:rPr>
          <w:rFonts w:cstheme="minorHAnsi"/>
          <w:b/>
          <w:bCs/>
          <w:sz w:val="21"/>
          <w:szCs w:val="21"/>
          <w:highlight w:val="green"/>
        </w:rPr>
        <w:t>Dekarbonizace</w:t>
      </w:r>
      <w:r w:rsidR="009D7894" w:rsidRPr="00763E17">
        <w:rPr>
          <w:rFonts w:cstheme="minorHAnsi"/>
          <w:b/>
          <w:bCs/>
          <w:sz w:val="21"/>
          <w:szCs w:val="21"/>
          <w:highlight w:val="green"/>
        </w:rPr>
        <w:t xml:space="preserve"> a využití OZE</w:t>
      </w:r>
    </w:p>
    <w:p w14:paraId="0388D34E" w14:textId="3352D271" w:rsidR="004A1411" w:rsidRPr="00763E17" w:rsidRDefault="008E0522" w:rsidP="00E13C49">
      <w:pPr>
        <w:spacing w:after="0" w:line="240" w:lineRule="auto"/>
        <w:jc w:val="both"/>
        <w:rPr>
          <w:rFonts w:cstheme="minorHAnsi"/>
          <w:b/>
          <w:bCs/>
          <w:sz w:val="21"/>
          <w:szCs w:val="21"/>
        </w:rPr>
      </w:pPr>
      <w:r w:rsidRPr="00763E17">
        <w:rPr>
          <w:rFonts w:cstheme="minorHAnsi"/>
          <w:b/>
          <w:bCs/>
          <w:sz w:val="21"/>
          <w:szCs w:val="21"/>
        </w:rPr>
        <w:t>Teplárna České Budějovice</w:t>
      </w:r>
      <w:r w:rsidR="00B95B16">
        <w:rPr>
          <w:rFonts w:cstheme="minorHAnsi"/>
          <w:b/>
          <w:bCs/>
          <w:sz w:val="21"/>
          <w:szCs w:val="21"/>
        </w:rPr>
        <w:t xml:space="preserve">: </w:t>
      </w:r>
      <w:r w:rsidR="004A1411" w:rsidRPr="00763E17">
        <w:rPr>
          <w:rFonts w:cstheme="minorHAnsi"/>
          <w:b/>
          <w:bCs/>
          <w:sz w:val="21"/>
          <w:szCs w:val="21"/>
        </w:rPr>
        <w:t>Druhý pilíř dekarbonizace - retrofit kotle K12 na biomasu</w:t>
      </w:r>
    </w:p>
    <w:p w14:paraId="7EEAFEE4" w14:textId="323C777A" w:rsidR="00F911C0" w:rsidRPr="00763E17" w:rsidRDefault="00F911C0" w:rsidP="00F911C0">
      <w:pPr>
        <w:spacing w:after="0" w:line="240" w:lineRule="auto"/>
        <w:jc w:val="both"/>
        <w:rPr>
          <w:rFonts w:cstheme="minorHAnsi"/>
          <w:sz w:val="21"/>
          <w:szCs w:val="21"/>
        </w:rPr>
      </w:pPr>
      <w:r w:rsidRPr="00763E17">
        <w:rPr>
          <w:rFonts w:cstheme="minorHAnsi"/>
          <w:sz w:val="21"/>
          <w:szCs w:val="21"/>
        </w:rPr>
        <w:t xml:space="preserve">Přestavba uhelného kotle K12 byla zahájena na podzim 2022, kdy byl po 43 letech provozu odstaven. S výkonem 117 MWt představoval jedno z klíčových výrobních zařízení. Retrofit, tedy úplná obnova stávající technologie za modernější a úspornější, v něm umožňuje spalovat dřevní štěpku. Náklady projektu 1,5 miliardy korun </w:t>
      </w:r>
      <w:r w:rsidR="00B95B16">
        <w:rPr>
          <w:rFonts w:cstheme="minorHAnsi"/>
          <w:sz w:val="21"/>
          <w:szCs w:val="21"/>
        </w:rPr>
        <w:t xml:space="preserve">byly podpořeny </w:t>
      </w:r>
      <w:r w:rsidRPr="00763E17">
        <w:rPr>
          <w:rFonts w:cstheme="minorHAnsi"/>
          <w:sz w:val="21"/>
          <w:szCs w:val="21"/>
        </w:rPr>
        <w:t>Modernizační</w:t>
      </w:r>
      <w:r w:rsidR="00B95B16">
        <w:rPr>
          <w:rFonts w:cstheme="minorHAnsi"/>
          <w:sz w:val="21"/>
          <w:szCs w:val="21"/>
        </w:rPr>
        <w:t>m</w:t>
      </w:r>
      <w:r w:rsidRPr="00763E17">
        <w:rPr>
          <w:rFonts w:cstheme="minorHAnsi"/>
          <w:sz w:val="21"/>
          <w:szCs w:val="21"/>
        </w:rPr>
        <w:t xml:space="preserve"> fond</w:t>
      </w:r>
      <w:r w:rsidR="00B95B16">
        <w:rPr>
          <w:rFonts w:cstheme="minorHAnsi"/>
          <w:sz w:val="21"/>
          <w:szCs w:val="21"/>
        </w:rPr>
        <w:t>em</w:t>
      </w:r>
      <w:r w:rsidRPr="00763E17">
        <w:rPr>
          <w:rFonts w:cstheme="minorHAnsi"/>
          <w:sz w:val="21"/>
          <w:szCs w:val="21"/>
        </w:rPr>
        <w:t xml:space="preserve">. Výkon kotle se snížil na 42 MWt a určen je pro optimalizaci výkonu teplárenské soustavy v létě a v přechodném období. Jeho kapacita doplňuje dodávky tepla z Jaderné elektrárny Temelín a z plánovaného zdroje ZEVO Vráto. Provozem nového kotle na štěpku se ušetří třetina uhlí, sníží se spotřeba neobnovitelné primární energie o 875 356 GJ ročně a sníží se emise CO2 o 81 445 tun ročně. Z uhlí vyrábí Teplárna České Budějovice teplo už jen v kotli K11, kterému generální oprava prodloužila životnost do konce desetiletí, kdy bude zprovozněno ZEVO Vráto, poslední pilíř dekarbonizace. Zemní plyn se pak bude využívat pouze jako záloha v případě nenadálých havárií nebo při stabilizaci hoření. Dekarbonizace Teplárny České Budějovice </w:t>
      </w:r>
      <w:r w:rsidR="00B95B16">
        <w:rPr>
          <w:rFonts w:cstheme="minorHAnsi"/>
          <w:sz w:val="21"/>
          <w:szCs w:val="21"/>
        </w:rPr>
        <w:t xml:space="preserve">tak </w:t>
      </w:r>
      <w:r w:rsidRPr="00763E17">
        <w:rPr>
          <w:rFonts w:cstheme="minorHAnsi"/>
          <w:sz w:val="21"/>
          <w:szCs w:val="21"/>
        </w:rPr>
        <w:t xml:space="preserve">proběhne téměř výhradně přechodem na místní zdroje energie a paliva. </w:t>
      </w:r>
    </w:p>
    <w:p w14:paraId="4D09AAC0" w14:textId="77777777" w:rsidR="0064371D" w:rsidRPr="00763E17" w:rsidRDefault="0064371D" w:rsidP="009053CE">
      <w:pPr>
        <w:spacing w:after="0" w:line="240" w:lineRule="auto"/>
        <w:jc w:val="both"/>
        <w:rPr>
          <w:rFonts w:ascii="Calibri" w:hAnsi="Calibri" w:cs="Calibri"/>
        </w:rPr>
      </w:pPr>
    </w:p>
    <w:p w14:paraId="33B24096" w14:textId="1EEEBBB6" w:rsidR="009D7894" w:rsidRPr="00763E17" w:rsidRDefault="009D7894" w:rsidP="009D7894">
      <w:pPr>
        <w:spacing w:after="0" w:line="240" w:lineRule="auto"/>
        <w:jc w:val="both"/>
        <w:rPr>
          <w:rFonts w:cstheme="minorHAnsi"/>
          <w:b/>
          <w:bCs/>
          <w:sz w:val="21"/>
          <w:szCs w:val="21"/>
        </w:rPr>
      </w:pPr>
      <w:r w:rsidRPr="00763E17">
        <w:rPr>
          <w:rFonts w:cstheme="minorHAnsi"/>
          <w:b/>
          <w:bCs/>
          <w:sz w:val="21"/>
          <w:szCs w:val="21"/>
          <w:highlight w:val="cyan"/>
        </w:rPr>
        <w:t>Konverze parovodů na efektivnější horkovody</w:t>
      </w:r>
    </w:p>
    <w:p w14:paraId="0116266B" w14:textId="191AA049" w:rsidR="00462E42" w:rsidRPr="00763E17" w:rsidRDefault="00462E42" w:rsidP="00462E42">
      <w:pPr>
        <w:spacing w:after="0" w:line="240" w:lineRule="auto"/>
        <w:jc w:val="both"/>
        <w:rPr>
          <w:rFonts w:cstheme="minorHAnsi"/>
          <w:b/>
          <w:bCs/>
          <w:sz w:val="21"/>
          <w:szCs w:val="21"/>
        </w:rPr>
      </w:pPr>
      <w:r w:rsidRPr="00763E17">
        <w:rPr>
          <w:rFonts w:cstheme="minorHAnsi"/>
          <w:b/>
          <w:bCs/>
          <w:sz w:val="21"/>
          <w:szCs w:val="21"/>
        </w:rPr>
        <w:t>Veolia Energie ČR</w:t>
      </w:r>
      <w:r w:rsidR="00B95B16">
        <w:rPr>
          <w:rFonts w:cstheme="minorHAnsi"/>
          <w:b/>
          <w:bCs/>
          <w:sz w:val="21"/>
          <w:szCs w:val="21"/>
        </w:rPr>
        <w:t xml:space="preserve"> / Teplárna Olomouc: </w:t>
      </w:r>
      <w:r w:rsidRPr="00763E17">
        <w:rPr>
          <w:rFonts w:cstheme="minorHAnsi"/>
          <w:b/>
          <w:bCs/>
          <w:sz w:val="21"/>
          <w:szCs w:val="21"/>
        </w:rPr>
        <w:t>Náhrada parovodů a propojení se špičkovou výtopnou</w:t>
      </w:r>
    </w:p>
    <w:p w14:paraId="6DFCB877" w14:textId="7E6ECA22" w:rsidR="00462E42" w:rsidRPr="00763E17" w:rsidRDefault="00462E42" w:rsidP="00462E42">
      <w:pPr>
        <w:spacing w:after="0" w:line="240" w:lineRule="auto"/>
        <w:jc w:val="both"/>
        <w:rPr>
          <w:rFonts w:cstheme="minorHAnsi"/>
          <w:sz w:val="21"/>
          <w:szCs w:val="21"/>
        </w:rPr>
      </w:pPr>
      <w:r w:rsidRPr="00763E17">
        <w:rPr>
          <w:rFonts w:cstheme="minorHAnsi"/>
          <w:sz w:val="21"/>
          <w:szCs w:val="21"/>
        </w:rPr>
        <w:t xml:space="preserve">Stabilnější dodávky tepla a teplé vody pro téměř 30 000 domácností a stovky dalších odběratelů, snížení emisí skleníkových plynů i zvýšení odolnosti soustavy proti povodním zajistí Olomouci dokončená stavba více než osmi kilometrů nových horkovodů. Veolia Energie do konverze s podporou Národního plánu obnovy investovala bezmála půl miliardy korun. Nový systém rozvodu tepla v Olomouci </w:t>
      </w:r>
      <w:r w:rsidR="00B95B16">
        <w:rPr>
          <w:rFonts w:cstheme="minorHAnsi"/>
          <w:sz w:val="21"/>
          <w:szCs w:val="21"/>
        </w:rPr>
        <w:t>je</w:t>
      </w:r>
      <w:r w:rsidRPr="00763E17">
        <w:rPr>
          <w:rFonts w:cstheme="minorHAnsi"/>
          <w:sz w:val="21"/>
          <w:szCs w:val="21"/>
        </w:rPr>
        <w:t xml:space="preserve"> méně energeticky náročný</w:t>
      </w:r>
      <w:r w:rsidR="00B95B16">
        <w:rPr>
          <w:rFonts w:cstheme="minorHAnsi"/>
          <w:sz w:val="21"/>
          <w:szCs w:val="21"/>
        </w:rPr>
        <w:t xml:space="preserve"> a </w:t>
      </w:r>
      <w:r w:rsidRPr="00763E17">
        <w:rPr>
          <w:rFonts w:cstheme="minorHAnsi"/>
          <w:sz w:val="21"/>
          <w:szCs w:val="21"/>
        </w:rPr>
        <w:t xml:space="preserve">na výrobu tepla </w:t>
      </w:r>
      <w:r w:rsidR="00B95B16">
        <w:rPr>
          <w:rFonts w:cstheme="minorHAnsi"/>
          <w:sz w:val="21"/>
          <w:szCs w:val="21"/>
        </w:rPr>
        <w:t xml:space="preserve">se </w:t>
      </w:r>
      <w:r w:rsidRPr="00763E17">
        <w:rPr>
          <w:rFonts w:cstheme="minorHAnsi"/>
          <w:sz w:val="21"/>
          <w:szCs w:val="21"/>
        </w:rPr>
        <w:t>spotřebuje méně paliva. Dojde k úsporám více než 45 000 GJ primární energie za rok a k významnému snížení skleníkových plynů o 5000 tun. Při rekonstrukci vzniklo také půlkilometrové propojení, které umožňuje do soustavy zásobování teplem v Olomouci zapojit kromě místní teplárny rovněž špičkovou výtopnu Olomouc. To je mimořádně důležité pro zastupitelnosti zdrojů vytápění ve městě. Dekarbonizace si totiž vyžádá rozsáhlou rekonstrukci, během níž bude nutné teplárnu dočasně odstavit. Role primárního zdroje tepla pro celou Olomouc tak bez jakýchkoliv omezení převezme právě špičková výtopna Olomouc.</w:t>
      </w:r>
    </w:p>
    <w:p w14:paraId="0681F85D" w14:textId="77777777" w:rsidR="00A0563C" w:rsidRPr="00763E17" w:rsidRDefault="00A0563C" w:rsidP="009D7894">
      <w:pPr>
        <w:spacing w:after="0" w:line="240" w:lineRule="auto"/>
        <w:jc w:val="both"/>
        <w:rPr>
          <w:rFonts w:cstheme="minorHAnsi"/>
          <w:sz w:val="21"/>
          <w:szCs w:val="21"/>
        </w:rPr>
      </w:pPr>
      <w:bookmarkStart w:id="2" w:name="_Hlk193364600"/>
    </w:p>
    <w:bookmarkEnd w:id="2"/>
    <w:p w14:paraId="2348D2CD" w14:textId="342B9A04" w:rsidR="003C71BC" w:rsidRPr="00B07D53" w:rsidRDefault="003C71BC" w:rsidP="003C71BC">
      <w:pPr>
        <w:spacing w:after="0" w:line="240" w:lineRule="auto"/>
        <w:jc w:val="both"/>
        <w:rPr>
          <w:rFonts w:cstheme="minorHAnsi"/>
          <w:b/>
          <w:bCs/>
          <w:sz w:val="21"/>
          <w:szCs w:val="21"/>
          <w:highlight w:val="lightGray"/>
        </w:rPr>
      </w:pPr>
      <w:r w:rsidRPr="00B07D53">
        <w:rPr>
          <w:rFonts w:cstheme="minorHAnsi"/>
          <w:b/>
          <w:bCs/>
          <w:sz w:val="21"/>
          <w:szCs w:val="21"/>
          <w:highlight w:val="lightGray"/>
        </w:rPr>
        <w:t>Rozvoj soustav zásobování teplem</w:t>
      </w:r>
    </w:p>
    <w:p w14:paraId="307DB99C" w14:textId="7EEEE3A7" w:rsidR="00FC418B" w:rsidRPr="00763E17" w:rsidRDefault="00FC418B" w:rsidP="00FC418B">
      <w:pPr>
        <w:spacing w:after="0" w:line="240" w:lineRule="auto"/>
        <w:jc w:val="both"/>
        <w:rPr>
          <w:rFonts w:cstheme="minorHAnsi"/>
          <w:b/>
          <w:bCs/>
          <w:sz w:val="21"/>
          <w:szCs w:val="21"/>
        </w:rPr>
      </w:pPr>
      <w:bookmarkStart w:id="3" w:name="_Hlk194322714"/>
      <w:r w:rsidRPr="00763E17">
        <w:rPr>
          <w:rFonts w:cstheme="minorHAnsi"/>
          <w:b/>
          <w:bCs/>
          <w:sz w:val="21"/>
          <w:szCs w:val="21"/>
        </w:rPr>
        <w:t>IROMEZ Pelhřimov (</w:t>
      </w:r>
      <w:r w:rsidR="00B95B16">
        <w:rPr>
          <w:rFonts w:cstheme="minorHAnsi"/>
          <w:b/>
          <w:bCs/>
          <w:sz w:val="21"/>
          <w:szCs w:val="21"/>
        </w:rPr>
        <w:t xml:space="preserve">skupina </w:t>
      </w:r>
      <w:r w:rsidRPr="00763E17">
        <w:rPr>
          <w:rFonts w:cstheme="minorHAnsi"/>
          <w:b/>
          <w:bCs/>
          <w:sz w:val="21"/>
          <w:szCs w:val="21"/>
        </w:rPr>
        <w:t>ENETIQA)</w:t>
      </w:r>
      <w:r w:rsidR="00B95B16">
        <w:rPr>
          <w:rFonts w:cstheme="minorHAnsi"/>
          <w:b/>
          <w:bCs/>
          <w:sz w:val="21"/>
          <w:szCs w:val="21"/>
        </w:rPr>
        <w:t xml:space="preserve">: </w:t>
      </w:r>
      <w:r w:rsidRPr="00763E17">
        <w:rPr>
          <w:rFonts w:cstheme="minorHAnsi"/>
          <w:b/>
          <w:bCs/>
          <w:sz w:val="21"/>
          <w:szCs w:val="21"/>
        </w:rPr>
        <w:t xml:space="preserve">Nový parovod a zelené teplo pro závod MADETA v Pelhřimově </w:t>
      </w:r>
    </w:p>
    <w:p w14:paraId="7A22154F" w14:textId="0E4497C9" w:rsidR="00FC418B" w:rsidRPr="00763E17" w:rsidRDefault="00FC418B" w:rsidP="00FC418B">
      <w:pPr>
        <w:spacing w:after="0" w:line="240" w:lineRule="auto"/>
        <w:jc w:val="both"/>
        <w:rPr>
          <w:rFonts w:cstheme="minorHAnsi"/>
          <w:sz w:val="21"/>
          <w:szCs w:val="21"/>
        </w:rPr>
      </w:pPr>
      <w:r w:rsidRPr="00763E17">
        <w:rPr>
          <w:rFonts w:cstheme="minorHAnsi"/>
          <w:sz w:val="21"/>
          <w:szCs w:val="21"/>
        </w:rPr>
        <w:t>Představitelé společností IROMEZ s.r.o. (biomasová teplárna v Pelhřimově ze skupiny ENETIQA) a společnosti MADETA a.s. se shodli, že je v zájmu obou stran navázat spolupráci v oblasti dodávek technologické páry vyrobené z biomasy, kterou by společnost MADETA nahradila doposud používaný zdroj na zemní plyn pro svůj závod v</w:t>
      </w:r>
      <w:r w:rsidR="00B95B16">
        <w:rPr>
          <w:rFonts w:cstheme="minorHAnsi"/>
          <w:sz w:val="21"/>
          <w:szCs w:val="21"/>
        </w:rPr>
        <w:t> </w:t>
      </w:r>
      <w:r w:rsidRPr="00763E17">
        <w:rPr>
          <w:rFonts w:cstheme="minorHAnsi"/>
          <w:sz w:val="21"/>
          <w:szCs w:val="21"/>
        </w:rPr>
        <w:t xml:space="preserve">Pelhřimově zabývající se primárně zpracováním mléka. Pro společný zájem bylo nalezeno ekonomické, technické a obchodní řešení a na jaře roku 2024 mohla začít realizační fáze výstavby. Projekt zahrnoval vybudování nového </w:t>
      </w:r>
      <w:proofErr w:type="spellStart"/>
      <w:r w:rsidRPr="00763E17">
        <w:rPr>
          <w:rFonts w:cstheme="minorHAnsi"/>
          <w:sz w:val="21"/>
          <w:szCs w:val="21"/>
        </w:rPr>
        <w:t>parokondenzátního</w:t>
      </w:r>
      <w:proofErr w:type="spellEnd"/>
      <w:r w:rsidRPr="00763E17">
        <w:rPr>
          <w:rFonts w:cstheme="minorHAnsi"/>
          <w:sz w:val="21"/>
          <w:szCs w:val="21"/>
        </w:rPr>
        <w:t xml:space="preserve"> potrubí o délce 740 metrů z biomasové kotelny K2 do závodu MADETA Pelhřimov. Dále úpravy na zdrojích kotelny, položení VN kabelů a instalaci optického vedení. Dílo za 53 milionů Kč bylo úspěšně zkolaudováno a v polovině roku 2024 mohly být zahájeny dodávky s předpokládaným ročním objemem 30 TJ tepelné energie v páře. Součástí projektu byla také veřejně prospěšná část, kdy IROMEZ vybudoval pro město Pelhřimov nový chodník se zábradlím, který spojuje vlakové a autobusové nádraží.</w:t>
      </w:r>
    </w:p>
    <w:bookmarkEnd w:id="3"/>
    <w:p w14:paraId="6EDAD0E3" w14:textId="77777777" w:rsidR="00F911C0" w:rsidRPr="00F911C0" w:rsidRDefault="00F911C0" w:rsidP="00F911C0">
      <w:pPr>
        <w:spacing w:after="0" w:line="240" w:lineRule="auto"/>
        <w:jc w:val="both"/>
        <w:rPr>
          <w:rFonts w:cstheme="minorHAnsi"/>
          <w:sz w:val="21"/>
          <w:szCs w:val="21"/>
        </w:rPr>
      </w:pPr>
    </w:p>
    <w:bookmarkEnd w:id="1"/>
    <w:p w14:paraId="72F55C69" w14:textId="7F9EBAD4" w:rsidR="003C71BC" w:rsidRPr="004908AB" w:rsidRDefault="003C71BC" w:rsidP="003C71BC">
      <w:pPr>
        <w:spacing w:after="0" w:line="240" w:lineRule="auto"/>
        <w:jc w:val="both"/>
        <w:rPr>
          <w:rFonts w:cstheme="minorHAnsi"/>
          <w:b/>
          <w:bCs/>
          <w:sz w:val="21"/>
          <w:szCs w:val="21"/>
        </w:rPr>
      </w:pPr>
      <w:r w:rsidRPr="004908AB">
        <w:rPr>
          <w:rFonts w:cstheme="minorHAnsi"/>
          <w:b/>
          <w:bCs/>
          <w:sz w:val="21"/>
          <w:szCs w:val="21"/>
          <w:highlight w:val="magenta"/>
        </w:rPr>
        <w:t>Počin roku</w:t>
      </w:r>
      <w:r w:rsidRPr="004908AB">
        <w:rPr>
          <w:rFonts w:cstheme="minorHAnsi"/>
          <w:b/>
          <w:bCs/>
          <w:sz w:val="21"/>
          <w:szCs w:val="21"/>
        </w:rPr>
        <w:t xml:space="preserve"> </w:t>
      </w:r>
    </w:p>
    <w:bookmarkEnd w:id="0"/>
    <w:p w14:paraId="5FDF357F" w14:textId="00F006B9" w:rsidR="00591A87" w:rsidRPr="00763E17" w:rsidRDefault="00591A87" w:rsidP="00591A87">
      <w:pPr>
        <w:spacing w:after="0" w:line="240" w:lineRule="auto"/>
        <w:jc w:val="both"/>
        <w:rPr>
          <w:rFonts w:cstheme="minorHAnsi"/>
          <w:sz w:val="21"/>
          <w:szCs w:val="21"/>
        </w:rPr>
      </w:pPr>
      <w:r w:rsidRPr="00763E17">
        <w:rPr>
          <w:rFonts w:cstheme="minorHAnsi"/>
          <w:b/>
          <w:bCs/>
          <w:sz w:val="21"/>
          <w:szCs w:val="21"/>
        </w:rPr>
        <w:t>Plzeňská teplárenská</w:t>
      </w:r>
      <w:r w:rsidR="00B95B16">
        <w:rPr>
          <w:rFonts w:cstheme="minorHAnsi"/>
          <w:b/>
          <w:bCs/>
          <w:sz w:val="21"/>
          <w:szCs w:val="21"/>
        </w:rPr>
        <w:t xml:space="preserve">: </w:t>
      </w:r>
      <w:r w:rsidRPr="00763E17">
        <w:rPr>
          <w:rFonts w:cstheme="minorHAnsi"/>
          <w:b/>
          <w:bCs/>
          <w:sz w:val="21"/>
          <w:szCs w:val="21"/>
        </w:rPr>
        <w:t>Výukové středisko pro žáky SOUE ve výměníkové stanici</w:t>
      </w:r>
    </w:p>
    <w:p w14:paraId="1F49A30B" w14:textId="31132B18" w:rsidR="00645935" w:rsidRDefault="00591A87" w:rsidP="00B07D53">
      <w:pPr>
        <w:spacing w:after="0" w:line="240" w:lineRule="auto"/>
        <w:jc w:val="both"/>
        <w:rPr>
          <w:rFonts w:cstheme="minorHAnsi"/>
          <w:sz w:val="21"/>
          <w:szCs w:val="21"/>
        </w:rPr>
      </w:pPr>
      <w:r w:rsidRPr="00763E17">
        <w:rPr>
          <w:rFonts w:cstheme="minorHAnsi"/>
          <w:sz w:val="21"/>
          <w:szCs w:val="21"/>
        </w:rPr>
        <w:t>Plzeňská teplárenská otevřela nové výukové středisko pro žáky Středního odborného učiliště elektrotechnického v Plzni. Bude ročně vzdělávat 85 elektrotechniků a instalatérů všech ročníků. Vzniklo za 7 milionů korun v nevyužitém prostoru výměníkové stanice teplárny na sídlišti Lochotín. Memorandum o vzájemné spolupráci mezi Plzeňskou teplárenskou a SOUE podepsali ředitelé obou subjektů ji</w:t>
      </w:r>
      <w:r w:rsidR="00B95B16">
        <w:rPr>
          <w:rFonts w:cstheme="minorHAnsi"/>
          <w:sz w:val="21"/>
          <w:szCs w:val="21"/>
        </w:rPr>
        <w:t>ž v listopadu 2022 a deklarovali</w:t>
      </w:r>
      <w:r w:rsidRPr="00763E17">
        <w:rPr>
          <w:rFonts w:cstheme="minorHAnsi"/>
          <w:sz w:val="21"/>
          <w:szCs w:val="21"/>
        </w:rPr>
        <w:t xml:space="preserve"> tím zájem vytvořit vhodné podmínky pro výkon praxe žáků učiliště v souladu se školním vzdělávacím programem. Zároveň se spolupráce týká i praxe žáků učiliště přímo v Plzeňské teplárenské a v jejich dceřiných společnostech. Nově si tak bude teplárna vychovávat vlastní odborníky zejména v oborech mechanik instalatérských a elektrotechnických zařízení, elektromechanik pro zařízení a přístroje a elektrikář silnoproud. V objektu je vybudováno kompletní zázemí, tedy učebna, dílny i šatna. Součástí je instalace funkčního modelu výměníkové stanice, což umožní </w:t>
      </w:r>
      <w:r w:rsidR="00BD338C">
        <w:rPr>
          <w:rFonts w:cstheme="minorHAnsi"/>
          <w:sz w:val="21"/>
          <w:szCs w:val="21"/>
        </w:rPr>
        <w:t>žákům</w:t>
      </w:r>
      <w:r w:rsidRPr="00763E17">
        <w:rPr>
          <w:rFonts w:cstheme="minorHAnsi"/>
          <w:sz w:val="21"/>
          <w:szCs w:val="21"/>
        </w:rPr>
        <w:t xml:space="preserve"> praktické testování a ovládání zařízení v reálném provozním prostředí. Dále je v objektu k dispozici dobíjecí stanice pro </w:t>
      </w:r>
      <w:proofErr w:type="spellStart"/>
      <w:r w:rsidRPr="00763E17">
        <w:rPr>
          <w:rFonts w:cstheme="minorHAnsi"/>
          <w:sz w:val="21"/>
          <w:szCs w:val="21"/>
        </w:rPr>
        <w:t>elektroautomobily</w:t>
      </w:r>
      <w:proofErr w:type="spellEnd"/>
      <w:r w:rsidRPr="00763E17">
        <w:rPr>
          <w:rFonts w:cstheme="minorHAnsi"/>
          <w:sz w:val="21"/>
          <w:szCs w:val="21"/>
        </w:rPr>
        <w:t xml:space="preserve"> a na střeše budovy je umístěna funkční fotovoltaická elektrárna.</w:t>
      </w:r>
      <w:r w:rsidRPr="00591A87">
        <w:rPr>
          <w:rFonts w:cstheme="minorHAnsi"/>
          <w:sz w:val="21"/>
          <w:szCs w:val="21"/>
        </w:rPr>
        <w:t xml:space="preserve"> </w:t>
      </w:r>
    </w:p>
    <w:p w14:paraId="1C142A7C" w14:textId="77777777" w:rsidR="00F20AE6" w:rsidRDefault="00F20AE6" w:rsidP="00B07D53">
      <w:pPr>
        <w:spacing w:after="0" w:line="240" w:lineRule="auto"/>
        <w:jc w:val="both"/>
        <w:rPr>
          <w:rFonts w:cstheme="minorHAnsi"/>
          <w:sz w:val="21"/>
          <w:szCs w:val="21"/>
        </w:rPr>
      </w:pPr>
    </w:p>
    <w:p w14:paraId="60358C58" w14:textId="77777777" w:rsidR="00F20AE6" w:rsidRDefault="00F20AE6" w:rsidP="00B07D53">
      <w:pPr>
        <w:spacing w:after="0" w:line="240" w:lineRule="auto"/>
        <w:jc w:val="both"/>
      </w:pPr>
      <w:bookmarkStart w:id="4" w:name="_GoBack"/>
      <w:bookmarkEnd w:id="4"/>
    </w:p>
    <w:sectPr w:rsidR="00F20AE6" w:rsidSect="004908A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33A2E"/>
    <w:multiLevelType w:val="hybridMultilevel"/>
    <w:tmpl w:val="54C68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540059C0"/>
    <w:multiLevelType w:val="hybridMultilevel"/>
    <w:tmpl w:val="E4A4F5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vel Kaufmann">
    <w15:presenceInfo w15:providerId="None" w15:userId="Pavel Kau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A2"/>
    <w:rsid w:val="000108A5"/>
    <w:rsid w:val="00012917"/>
    <w:rsid w:val="0002313C"/>
    <w:rsid w:val="00033639"/>
    <w:rsid w:val="00035B62"/>
    <w:rsid w:val="00053B6C"/>
    <w:rsid w:val="00066850"/>
    <w:rsid w:val="000B2C28"/>
    <w:rsid w:val="000B6FA6"/>
    <w:rsid w:val="000D357A"/>
    <w:rsid w:val="000F378A"/>
    <w:rsid w:val="00110B9A"/>
    <w:rsid w:val="00123B17"/>
    <w:rsid w:val="001243C4"/>
    <w:rsid w:val="00155A33"/>
    <w:rsid w:val="0018317B"/>
    <w:rsid w:val="001B220E"/>
    <w:rsid w:val="001D4073"/>
    <w:rsid w:val="002131ED"/>
    <w:rsid w:val="00230422"/>
    <w:rsid w:val="002517C1"/>
    <w:rsid w:val="00251DA6"/>
    <w:rsid w:val="002576B4"/>
    <w:rsid w:val="00261238"/>
    <w:rsid w:val="00275808"/>
    <w:rsid w:val="00283B50"/>
    <w:rsid w:val="00294314"/>
    <w:rsid w:val="002A4768"/>
    <w:rsid w:val="002A6968"/>
    <w:rsid w:val="002C4174"/>
    <w:rsid w:val="002D0ED5"/>
    <w:rsid w:val="002D15B2"/>
    <w:rsid w:val="002D61FD"/>
    <w:rsid w:val="002D6E52"/>
    <w:rsid w:val="002E12BC"/>
    <w:rsid w:val="002E2035"/>
    <w:rsid w:val="00306D29"/>
    <w:rsid w:val="003623BE"/>
    <w:rsid w:val="003643DE"/>
    <w:rsid w:val="00372FED"/>
    <w:rsid w:val="003879E0"/>
    <w:rsid w:val="003A396D"/>
    <w:rsid w:val="003B6446"/>
    <w:rsid w:val="003C71BC"/>
    <w:rsid w:val="003D0D15"/>
    <w:rsid w:val="003D54A2"/>
    <w:rsid w:val="003F6DCD"/>
    <w:rsid w:val="00402A04"/>
    <w:rsid w:val="00445AED"/>
    <w:rsid w:val="00462E42"/>
    <w:rsid w:val="0047259D"/>
    <w:rsid w:val="0047352C"/>
    <w:rsid w:val="00490349"/>
    <w:rsid w:val="004908AB"/>
    <w:rsid w:val="004A1411"/>
    <w:rsid w:val="004A541D"/>
    <w:rsid w:val="004B0F3F"/>
    <w:rsid w:val="004C04AA"/>
    <w:rsid w:val="004D3434"/>
    <w:rsid w:val="004E1DF6"/>
    <w:rsid w:val="0050089C"/>
    <w:rsid w:val="00503FE5"/>
    <w:rsid w:val="005253C2"/>
    <w:rsid w:val="00550E7A"/>
    <w:rsid w:val="00570EED"/>
    <w:rsid w:val="00591A87"/>
    <w:rsid w:val="005A7CAF"/>
    <w:rsid w:val="006119E5"/>
    <w:rsid w:val="00622EAA"/>
    <w:rsid w:val="0063766F"/>
    <w:rsid w:val="0064143D"/>
    <w:rsid w:val="0064371D"/>
    <w:rsid w:val="00645935"/>
    <w:rsid w:val="006910C5"/>
    <w:rsid w:val="006C24EE"/>
    <w:rsid w:val="006D649E"/>
    <w:rsid w:val="006E4297"/>
    <w:rsid w:val="006F14A4"/>
    <w:rsid w:val="007054B2"/>
    <w:rsid w:val="0071137C"/>
    <w:rsid w:val="00734523"/>
    <w:rsid w:val="00763E17"/>
    <w:rsid w:val="00771F4C"/>
    <w:rsid w:val="0077411F"/>
    <w:rsid w:val="00780F53"/>
    <w:rsid w:val="00792178"/>
    <w:rsid w:val="007968F0"/>
    <w:rsid w:val="007A2145"/>
    <w:rsid w:val="007A7DC5"/>
    <w:rsid w:val="007B00B5"/>
    <w:rsid w:val="007B1F28"/>
    <w:rsid w:val="007C333A"/>
    <w:rsid w:val="007C5D8D"/>
    <w:rsid w:val="007E7D8E"/>
    <w:rsid w:val="00814F77"/>
    <w:rsid w:val="00817DCE"/>
    <w:rsid w:val="008327A6"/>
    <w:rsid w:val="00832D30"/>
    <w:rsid w:val="00833228"/>
    <w:rsid w:val="008521FC"/>
    <w:rsid w:val="00875E94"/>
    <w:rsid w:val="00893DC9"/>
    <w:rsid w:val="008963F5"/>
    <w:rsid w:val="008A383F"/>
    <w:rsid w:val="008A5554"/>
    <w:rsid w:val="008B3E6B"/>
    <w:rsid w:val="008D0B0D"/>
    <w:rsid w:val="008D2936"/>
    <w:rsid w:val="008D459B"/>
    <w:rsid w:val="008E0522"/>
    <w:rsid w:val="009053CE"/>
    <w:rsid w:val="00915D9A"/>
    <w:rsid w:val="00933A75"/>
    <w:rsid w:val="00941013"/>
    <w:rsid w:val="00945F9F"/>
    <w:rsid w:val="0095044C"/>
    <w:rsid w:val="0096253C"/>
    <w:rsid w:val="00967554"/>
    <w:rsid w:val="00974FC3"/>
    <w:rsid w:val="009769C5"/>
    <w:rsid w:val="009911DB"/>
    <w:rsid w:val="00997C6E"/>
    <w:rsid w:val="009B1548"/>
    <w:rsid w:val="009B37EF"/>
    <w:rsid w:val="009C7F4F"/>
    <w:rsid w:val="009D7894"/>
    <w:rsid w:val="009E10A2"/>
    <w:rsid w:val="009E472C"/>
    <w:rsid w:val="00A0563C"/>
    <w:rsid w:val="00A508E4"/>
    <w:rsid w:val="00A516DD"/>
    <w:rsid w:val="00A6449C"/>
    <w:rsid w:val="00A876C7"/>
    <w:rsid w:val="00AA63D7"/>
    <w:rsid w:val="00AE7DE9"/>
    <w:rsid w:val="00B00406"/>
    <w:rsid w:val="00B07D53"/>
    <w:rsid w:val="00B2600C"/>
    <w:rsid w:val="00B40F93"/>
    <w:rsid w:val="00B679C8"/>
    <w:rsid w:val="00B73E9A"/>
    <w:rsid w:val="00B90FE2"/>
    <w:rsid w:val="00B95B16"/>
    <w:rsid w:val="00BA47D4"/>
    <w:rsid w:val="00BB107D"/>
    <w:rsid w:val="00BB7D9C"/>
    <w:rsid w:val="00BB7E48"/>
    <w:rsid w:val="00BC3925"/>
    <w:rsid w:val="00BC6ACD"/>
    <w:rsid w:val="00BD338C"/>
    <w:rsid w:val="00BD36E4"/>
    <w:rsid w:val="00BD4425"/>
    <w:rsid w:val="00BE4452"/>
    <w:rsid w:val="00BF5FED"/>
    <w:rsid w:val="00C00E3E"/>
    <w:rsid w:val="00C158DE"/>
    <w:rsid w:val="00C23639"/>
    <w:rsid w:val="00C40129"/>
    <w:rsid w:val="00C6564B"/>
    <w:rsid w:val="00C66976"/>
    <w:rsid w:val="00C766A6"/>
    <w:rsid w:val="00C83572"/>
    <w:rsid w:val="00CB28A1"/>
    <w:rsid w:val="00CB2902"/>
    <w:rsid w:val="00CD0D9E"/>
    <w:rsid w:val="00CF0D3F"/>
    <w:rsid w:val="00CF5696"/>
    <w:rsid w:val="00D0041B"/>
    <w:rsid w:val="00D16B4D"/>
    <w:rsid w:val="00D81CF0"/>
    <w:rsid w:val="00D930E3"/>
    <w:rsid w:val="00DA3450"/>
    <w:rsid w:val="00DB2002"/>
    <w:rsid w:val="00DD517D"/>
    <w:rsid w:val="00DD5C5A"/>
    <w:rsid w:val="00DF5B9F"/>
    <w:rsid w:val="00E13C49"/>
    <w:rsid w:val="00E24A8B"/>
    <w:rsid w:val="00E37B8C"/>
    <w:rsid w:val="00E420DA"/>
    <w:rsid w:val="00E5009C"/>
    <w:rsid w:val="00E70E98"/>
    <w:rsid w:val="00E83F41"/>
    <w:rsid w:val="00E9295C"/>
    <w:rsid w:val="00EA2113"/>
    <w:rsid w:val="00EB416B"/>
    <w:rsid w:val="00ED2CAE"/>
    <w:rsid w:val="00F009FE"/>
    <w:rsid w:val="00F20AE6"/>
    <w:rsid w:val="00F2171C"/>
    <w:rsid w:val="00F36B0C"/>
    <w:rsid w:val="00F67445"/>
    <w:rsid w:val="00F7117A"/>
    <w:rsid w:val="00F76343"/>
    <w:rsid w:val="00F83935"/>
    <w:rsid w:val="00F911C0"/>
    <w:rsid w:val="00FB425F"/>
    <w:rsid w:val="00FC418B"/>
    <w:rsid w:val="00FD2EB8"/>
    <w:rsid w:val="00FE2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6968"/>
    <w:pPr>
      <w:spacing w:after="200" w:line="276" w:lineRule="auto"/>
    </w:pPr>
    <w:rPr>
      <w:kern w:val="0"/>
      <w14:ligatures w14:val="none"/>
    </w:rPr>
  </w:style>
  <w:style w:type="paragraph" w:styleId="Nadpis1">
    <w:name w:val="heading 1"/>
    <w:basedOn w:val="Normln"/>
    <w:link w:val="Nadpis1Char"/>
    <w:uiPriority w:val="9"/>
    <w:qFormat/>
    <w:rsid w:val="00D930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30E3"/>
    <w:rPr>
      <w:rFonts w:ascii="Times New Roman" w:eastAsia="Times New Roman" w:hAnsi="Times New Roman" w:cs="Times New Roman"/>
      <w:b/>
      <w:bCs/>
      <w:kern w:val="36"/>
      <w:sz w:val="48"/>
      <w:szCs w:val="48"/>
      <w:lang w:eastAsia="cs-CZ"/>
      <w14:ligatures w14:val="none"/>
    </w:rPr>
  </w:style>
  <w:style w:type="character" w:customStyle="1" w:styleId="mr-2">
    <w:name w:val="mr-2"/>
    <w:basedOn w:val="Standardnpsmoodstavce"/>
    <w:rsid w:val="00D930E3"/>
  </w:style>
  <w:style w:type="paragraph" w:customStyle="1" w:styleId="perex">
    <w:name w:val="perex"/>
    <w:basedOn w:val="Normln"/>
    <w:rsid w:val="00D930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930E3"/>
    <w:rPr>
      <w:color w:val="0000FF"/>
      <w:u w:val="single"/>
    </w:rPr>
  </w:style>
  <w:style w:type="character" w:customStyle="1" w:styleId="Nevyeenzmnka1">
    <w:name w:val="Nevyřešená zmínka1"/>
    <w:basedOn w:val="Standardnpsmoodstavce"/>
    <w:uiPriority w:val="99"/>
    <w:semiHidden/>
    <w:unhideWhenUsed/>
    <w:rsid w:val="002131ED"/>
    <w:rPr>
      <w:color w:val="605E5C"/>
      <w:shd w:val="clear" w:color="auto" w:fill="E1DFDD"/>
    </w:rPr>
  </w:style>
  <w:style w:type="character" w:styleId="Sledovanodkaz">
    <w:name w:val="FollowedHyperlink"/>
    <w:basedOn w:val="Standardnpsmoodstavce"/>
    <w:uiPriority w:val="99"/>
    <w:semiHidden/>
    <w:unhideWhenUsed/>
    <w:rsid w:val="00E13C49"/>
    <w:rPr>
      <w:color w:val="954F72" w:themeColor="followedHyperlink"/>
      <w:u w:val="single"/>
    </w:rPr>
  </w:style>
  <w:style w:type="paragraph" w:styleId="Odstavecseseznamem">
    <w:name w:val="List Paragraph"/>
    <w:basedOn w:val="Normln"/>
    <w:uiPriority w:val="34"/>
    <w:qFormat/>
    <w:rsid w:val="00306D29"/>
    <w:pPr>
      <w:ind w:left="720"/>
      <w:contextualSpacing/>
    </w:pPr>
  </w:style>
  <w:style w:type="paragraph" w:styleId="Revize">
    <w:name w:val="Revision"/>
    <w:hidden/>
    <w:uiPriority w:val="99"/>
    <w:semiHidden/>
    <w:rsid w:val="00FC418B"/>
    <w:pPr>
      <w:spacing w:after="0" w:line="240" w:lineRule="auto"/>
    </w:pPr>
    <w:rPr>
      <w:kern w:val="0"/>
      <w14:ligatures w14:val="none"/>
    </w:rPr>
  </w:style>
  <w:style w:type="paragraph" w:styleId="Textbubliny">
    <w:name w:val="Balloon Text"/>
    <w:basedOn w:val="Normln"/>
    <w:link w:val="TextbublinyChar"/>
    <w:uiPriority w:val="99"/>
    <w:semiHidden/>
    <w:unhideWhenUsed/>
    <w:rsid w:val="00B95B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5B16"/>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6968"/>
    <w:pPr>
      <w:spacing w:after="200" w:line="276" w:lineRule="auto"/>
    </w:pPr>
    <w:rPr>
      <w:kern w:val="0"/>
      <w14:ligatures w14:val="none"/>
    </w:rPr>
  </w:style>
  <w:style w:type="paragraph" w:styleId="Nadpis1">
    <w:name w:val="heading 1"/>
    <w:basedOn w:val="Normln"/>
    <w:link w:val="Nadpis1Char"/>
    <w:uiPriority w:val="9"/>
    <w:qFormat/>
    <w:rsid w:val="00D930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30E3"/>
    <w:rPr>
      <w:rFonts w:ascii="Times New Roman" w:eastAsia="Times New Roman" w:hAnsi="Times New Roman" w:cs="Times New Roman"/>
      <w:b/>
      <w:bCs/>
      <w:kern w:val="36"/>
      <w:sz w:val="48"/>
      <w:szCs w:val="48"/>
      <w:lang w:eastAsia="cs-CZ"/>
      <w14:ligatures w14:val="none"/>
    </w:rPr>
  </w:style>
  <w:style w:type="character" w:customStyle="1" w:styleId="mr-2">
    <w:name w:val="mr-2"/>
    <w:basedOn w:val="Standardnpsmoodstavce"/>
    <w:rsid w:val="00D930E3"/>
  </w:style>
  <w:style w:type="paragraph" w:customStyle="1" w:styleId="perex">
    <w:name w:val="perex"/>
    <w:basedOn w:val="Normln"/>
    <w:rsid w:val="00D930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930E3"/>
    <w:rPr>
      <w:color w:val="0000FF"/>
      <w:u w:val="single"/>
    </w:rPr>
  </w:style>
  <w:style w:type="character" w:customStyle="1" w:styleId="Nevyeenzmnka1">
    <w:name w:val="Nevyřešená zmínka1"/>
    <w:basedOn w:val="Standardnpsmoodstavce"/>
    <w:uiPriority w:val="99"/>
    <w:semiHidden/>
    <w:unhideWhenUsed/>
    <w:rsid w:val="002131ED"/>
    <w:rPr>
      <w:color w:val="605E5C"/>
      <w:shd w:val="clear" w:color="auto" w:fill="E1DFDD"/>
    </w:rPr>
  </w:style>
  <w:style w:type="character" w:styleId="Sledovanodkaz">
    <w:name w:val="FollowedHyperlink"/>
    <w:basedOn w:val="Standardnpsmoodstavce"/>
    <w:uiPriority w:val="99"/>
    <w:semiHidden/>
    <w:unhideWhenUsed/>
    <w:rsid w:val="00E13C49"/>
    <w:rPr>
      <w:color w:val="954F72" w:themeColor="followedHyperlink"/>
      <w:u w:val="single"/>
    </w:rPr>
  </w:style>
  <w:style w:type="paragraph" w:styleId="Odstavecseseznamem">
    <w:name w:val="List Paragraph"/>
    <w:basedOn w:val="Normln"/>
    <w:uiPriority w:val="34"/>
    <w:qFormat/>
    <w:rsid w:val="00306D29"/>
    <w:pPr>
      <w:ind w:left="720"/>
      <w:contextualSpacing/>
    </w:pPr>
  </w:style>
  <w:style w:type="paragraph" w:styleId="Revize">
    <w:name w:val="Revision"/>
    <w:hidden/>
    <w:uiPriority w:val="99"/>
    <w:semiHidden/>
    <w:rsid w:val="00FC418B"/>
    <w:pPr>
      <w:spacing w:after="0" w:line="240" w:lineRule="auto"/>
    </w:pPr>
    <w:rPr>
      <w:kern w:val="0"/>
      <w14:ligatures w14:val="none"/>
    </w:rPr>
  </w:style>
  <w:style w:type="paragraph" w:styleId="Textbubliny">
    <w:name w:val="Balloon Text"/>
    <w:basedOn w:val="Normln"/>
    <w:link w:val="TextbublinyChar"/>
    <w:uiPriority w:val="99"/>
    <w:semiHidden/>
    <w:unhideWhenUsed/>
    <w:rsid w:val="00B95B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5B16"/>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024">
      <w:bodyDiv w:val="1"/>
      <w:marLeft w:val="0"/>
      <w:marRight w:val="0"/>
      <w:marTop w:val="0"/>
      <w:marBottom w:val="0"/>
      <w:divBdr>
        <w:top w:val="none" w:sz="0" w:space="0" w:color="auto"/>
        <w:left w:val="none" w:sz="0" w:space="0" w:color="auto"/>
        <w:bottom w:val="none" w:sz="0" w:space="0" w:color="auto"/>
        <w:right w:val="none" w:sz="0" w:space="0" w:color="auto"/>
      </w:divBdr>
    </w:div>
    <w:div w:id="415789994">
      <w:bodyDiv w:val="1"/>
      <w:marLeft w:val="0"/>
      <w:marRight w:val="0"/>
      <w:marTop w:val="0"/>
      <w:marBottom w:val="0"/>
      <w:divBdr>
        <w:top w:val="none" w:sz="0" w:space="0" w:color="auto"/>
        <w:left w:val="none" w:sz="0" w:space="0" w:color="auto"/>
        <w:bottom w:val="none" w:sz="0" w:space="0" w:color="auto"/>
        <w:right w:val="none" w:sz="0" w:space="0" w:color="auto"/>
      </w:divBdr>
    </w:div>
    <w:div w:id="484010413">
      <w:bodyDiv w:val="1"/>
      <w:marLeft w:val="0"/>
      <w:marRight w:val="0"/>
      <w:marTop w:val="0"/>
      <w:marBottom w:val="0"/>
      <w:divBdr>
        <w:top w:val="none" w:sz="0" w:space="0" w:color="auto"/>
        <w:left w:val="none" w:sz="0" w:space="0" w:color="auto"/>
        <w:bottom w:val="none" w:sz="0" w:space="0" w:color="auto"/>
        <w:right w:val="none" w:sz="0" w:space="0" w:color="auto"/>
      </w:divBdr>
    </w:div>
    <w:div w:id="514074745">
      <w:bodyDiv w:val="1"/>
      <w:marLeft w:val="0"/>
      <w:marRight w:val="0"/>
      <w:marTop w:val="0"/>
      <w:marBottom w:val="0"/>
      <w:divBdr>
        <w:top w:val="none" w:sz="0" w:space="0" w:color="auto"/>
        <w:left w:val="none" w:sz="0" w:space="0" w:color="auto"/>
        <w:bottom w:val="none" w:sz="0" w:space="0" w:color="auto"/>
        <w:right w:val="none" w:sz="0" w:space="0" w:color="auto"/>
      </w:divBdr>
    </w:div>
    <w:div w:id="548227217">
      <w:bodyDiv w:val="1"/>
      <w:marLeft w:val="0"/>
      <w:marRight w:val="0"/>
      <w:marTop w:val="0"/>
      <w:marBottom w:val="0"/>
      <w:divBdr>
        <w:top w:val="none" w:sz="0" w:space="0" w:color="auto"/>
        <w:left w:val="none" w:sz="0" w:space="0" w:color="auto"/>
        <w:bottom w:val="none" w:sz="0" w:space="0" w:color="auto"/>
        <w:right w:val="none" w:sz="0" w:space="0" w:color="auto"/>
      </w:divBdr>
    </w:div>
    <w:div w:id="574979055">
      <w:bodyDiv w:val="1"/>
      <w:marLeft w:val="0"/>
      <w:marRight w:val="0"/>
      <w:marTop w:val="0"/>
      <w:marBottom w:val="0"/>
      <w:divBdr>
        <w:top w:val="none" w:sz="0" w:space="0" w:color="auto"/>
        <w:left w:val="none" w:sz="0" w:space="0" w:color="auto"/>
        <w:bottom w:val="none" w:sz="0" w:space="0" w:color="auto"/>
        <w:right w:val="none" w:sz="0" w:space="0" w:color="auto"/>
      </w:divBdr>
    </w:div>
    <w:div w:id="590356899">
      <w:bodyDiv w:val="1"/>
      <w:marLeft w:val="0"/>
      <w:marRight w:val="0"/>
      <w:marTop w:val="0"/>
      <w:marBottom w:val="0"/>
      <w:divBdr>
        <w:top w:val="none" w:sz="0" w:space="0" w:color="auto"/>
        <w:left w:val="none" w:sz="0" w:space="0" w:color="auto"/>
        <w:bottom w:val="none" w:sz="0" w:space="0" w:color="auto"/>
        <w:right w:val="none" w:sz="0" w:space="0" w:color="auto"/>
      </w:divBdr>
    </w:div>
    <w:div w:id="633415046">
      <w:bodyDiv w:val="1"/>
      <w:marLeft w:val="0"/>
      <w:marRight w:val="0"/>
      <w:marTop w:val="0"/>
      <w:marBottom w:val="0"/>
      <w:divBdr>
        <w:top w:val="none" w:sz="0" w:space="0" w:color="auto"/>
        <w:left w:val="none" w:sz="0" w:space="0" w:color="auto"/>
        <w:bottom w:val="none" w:sz="0" w:space="0" w:color="auto"/>
        <w:right w:val="none" w:sz="0" w:space="0" w:color="auto"/>
      </w:divBdr>
    </w:div>
    <w:div w:id="656423712">
      <w:bodyDiv w:val="1"/>
      <w:marLeft w:val="0"/>
      <w:marRight w:val="0"/>
      <w:marTop w:val="0"/>
      <w:marBottom w:val="0"/>
      <w:divBdr>
        <w:top w:val="none" w:sz="0" w:space="0" w:color="auto"/>
        <w:left w:val="none" w:sz="0" w:space="0" w:color="auto"/>
        <w:bottom w:val="none" w:sz="0" w:space="0" w:color="auto"/>
        <w:right w:val="none" w:sz="0" w:space="0" w:color="auto"/>
      </w:divBdr>
    </w:div>
    <w:div w:id="657271820">
      <w:bodyDiv w:val="1"/>
      <w:marLeft w:val="0"/>
      <w:marRight w:val="0"/>
      <w:marTop w:val="0"/>
      <w:marBottom w:val="0"/>
      <w:divBdr>
        <w:top w:val="none" w:sz="0" w:space="0" w:color="auto"/>
        <w:left w:val="none" w:sz="0" w:space="0" w:color="auto"/>
        <w:bottom w:val="none" w:sz="0" w:space="0" w:color="auto"/>
        <w:right w:val="none" w:sz="0" w:space="0" w:color="auto"/>
      </w:divBdr>
    </w:div>
    <w:div w:id="670372331">
      <w:bodyDiv w:val="1"/>
      <w:marLeft w:val="0"/>
      <w:marRight w:val="0"/>
      <w:marTop w:val="0"/>
      <w:marBottom w:val="0"/>
      <w:divBdr>
        <w:top w:val="none" w:sz="0" w:space="0" w:color="auto"/>
        <w:left w:val="none" w:sz="0" w:space="0" w:color="auto"/>
        <w:bottom w:val="none" w:sz="0" w:space="0" w:color="auto"/>
        <w:right w:val="none" w:sz="0" w:space="0" w:color="auto"/>
      </w:divBdr>
    </w:div>
    <w:div w:id="818888019">
      <w:bodyDiv w:val="1"/>
      <w:marLeft w:val="0"/>
      <w:marRight w:val="0"/>
      <w:marTop w:val="0"/>
      <w:marBottom w:val="0"/>
      <w:divBdr>
        <w:top w:val="none" w:sz="0" w:space="0" w:color="auto"/>
        <w:left w:val="none" w:sz="0" w:space="0" w:color="auto"/>
        <w:bottom w:val="none" w:sz="0" w:space="0" w:color="auto"/>
        <w:right w:val="none" w:sz="0" w:space="0" w:color="auto"/>
      </w:divBdr>
      <w:divsChild>
        <w:div w:id="1957172203">
          <w:marLeft w:val="-225"/>
          <w:marRight w:val="-225"/>
          <w:marTop w:val="0"/>
          <w:marBottom w:val="0"/>
          <w:divBdr>
            <w:top w:val="none" w:sz="0" w:space="0" w:color="auto"/>
            <w:left w:val="none" w:sz="0" w:space="0" w:color="auto"/>
            <w:bottom w:val="none" w:sz="0" w:space="0" w:color="auto"/>
            <w:right w:val="none" w:sz="0" w:space="0" w:color="auto"/>
          </w:divBdr>
          <w:divsChild>
            <w:div w:id="1453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0650">
      <w:bodyDiv w:val="1"/>
      <w:marLeft w:val="0"/>
      <w:marRight w:val="0"/>
      <w:marTop w:val="0"/>
      <w:marBottom w:val="0"/>
      <w:divBdr>
        <w:top w:val="none" w:sz="0" w:space="0" w:color="auto"/>
        <w:left w:val="none" w:sz="0" w:space="0" w:color="auto"/>
        <w:bottom w:val="none" w:sz="0" w:space="0" w:color="auto"/>
        <w:right w:val="none" w:sz="0" w:space="0" w:color="auto"/>
      </w:divBdr>
    </w:div>
    <w:div w:id="855726419">
      <w:bodyDiv w:val="1"/>
      <w:marLeft w:val="0"/>
      <w:marRight w:val="0"/>
      <w:marTop w:val="0"/>
      <w:marBottom w:val="0"/>
      <w:divBdr>
        <w:top w:val="none" w:sz="0" w:space="0" w:color="auto"/>
        <w:left w:val="none" w:sz="0" w:space="0" w:color="auto"/>
        <w:bottom w:val="none" w:sz="0" w:space="0" w:color="auto"/>
        <w:right w:val="none" w:sz="0" w:space="0" w:color="auto"/>
      </w:divBdr>
    </w:div>
    <w:div w:id="908538704">
      <w:bodyDiv w:val="1"/>
      <w:marLeft w:val="0"/>
      <w:marRight w:val="0"/>
      <w:marTop w:val="0"/>
      <w:marBottom w:val="0"/>
      <w:divBdr>
        <w:top w:val="none" w:sz="0" w:space="0" w:color="auto"/>
        <w:left w:val="none" w:sz="0" w:space="0" w:color="auto"/>
        <w:bottom w:val="none" w:sz="0" w:space="0" w:color="auto"/>
        <w:right w:val="none" w:sz="0" w:space="0" w:color="auto"/>
      </w:divBdr>
    </w:div>
    <w:div w:id="918100535">
      <w:bodyDiv w:val="1"/>
      <w:marLeft w:val="0"/>
      <w:marRight w:val="0"/>
      <w:marTop w:val="0"/>
      <w:marBottom w:val="0"/>
      <w:divBdr>
        <w:top w:val="none" w:sz="0" w:space="0" w:color="auto"/>
        <w:left w:val="none" w:sz="0" w:space="0" w:color="auto"/>
        <w:bottom w:val="none" w:sz="0" w:space="0" w:color="auto"/>
        <w:right w:val="none" w:sz="0" w:space="0" w:color="auto"/>
      </w:divBdr>
    </w:div>
    <w:div w:id="944919989">
      <w:bodyDiv w:val="1"/>
      <w:marLeft w:val="0"/>
      <w:marRight w:val="0"/>
      <w:marTop w:val="0"/>
      <w:marBottom w:val="0"/>
      <w:divBdr>
        <w:top w:val="none" w:sz="0" w:space="0" w:color="auto"/>
        <w:left w:val="none" w:sz="0" w:space="0" w:color="auto"/>
        <w:bottom w:val="none" w:sz="0" w:space="0" w:color="auto"/>
        <w:right w:val="none" w:sz="0" w:space="0" w:color="auto"/>
      </w:divBdr>
    </w:div>
    <w:div w:id="976372805">
      <w:bodyDiv w:val="1"/>
      <w:marLeft w:val="0"/>
      <w:marRight w:val="0"/>
      <w:marTop w:val="0"/>
      <w:marBottom w:val="0"/>
      <w:divBdr>
        <w:top w:val="none" w:sz="0" w:space="0" w:color="auto"/>
        <w:left w:val="none" w:sz="0" w:space="0" w:color="auto"/>
        <w:bottom w:val="none" w:sz="0" w:space="0" w:color="auto"/>
        <w:right w:val="none" w:sz="0" w:space="0" w:color="auto"/>
      </w:divBdr>
    </w:div>
    <w:div w:id="992031696">
      <w:bodyDiv w:val="1"/>
      <w:marLeft w:val="0"/>
      <w:marRight w:val="0"/>
      <w:marTop w:val="0"/>
      <w:marBottom w:val="0"/>
      <w:divBdr>
        <w:top w:val="none" w:sz="0" w:space="0" w:color="auto"/>
        <w:left w:val="none" w:sz="0" w:space="0" w:color="auto"/>
        <w:bottom w:val="none" w:sz="0" w:space="0" w:color="auto"/>
        <w:right w:val="none" w:sz="0" w:space="0" w:color="auto"/>
      </w:divBdr>
      <w:divsChild>
        <w:div w:id="1647315415">
          <w:marLeft w:val="0"/>
          <w:marRight w:val="0"/>
          <w:marTop w:val="0"/>
          <w:marBottom w:val="0"/>
          <w:divBdr>
            <w:top w:val="none" w:sz="0" w:space="0" w:color="auto"/>
            <w:left w:val="none" w:sz="0" w:space="0" w:color="auto"/>
            <w:bottom w:val="none" w:sz="0" w:space="0" w:color="auto"/>
            <w:right w:val="none" w:sz="0" w:space="0" w:color="auto"/>
          </w:divBdr>
          <w:divsChild>
            <w:div w:id="1603880964">
              <w:marLeft w:val="0"/>
              <w:marRight w:val="0"/>
              <w:marTop w:val="0"/>
              <w:marBottom w:val="0"/>
              <w:divBdr>
                <w:top w:val="none" w:sz="0" w:space="0" w:color="auto"/>
                <w:left w:val="none" w:sz="0" w:space="0" w:color="auto"/>
                <w:bottom w:val="none" w:sz="0" w:space="0" w:color="auto"/>
                <w:right w:val="none" w:sz="0" w:space="0" w:color="auto"/>
              </w:divBdr>
              <w:divsChild>
                <w:div w:id="1123422999">
                  <w:marLeft w:val="0"/>
                  <w:marRight w:val="0"/>
                  <w:marTop w:val="0"/>
                  <w:marBottom w:val="0"/>
                  <w:divBdr>
                    <w:top w:val="none" w:sz="0" w:space="0" w:color="auto"/>
                    <w:left w:val="none" w:sz="0" w:space="0" w:color="auto"/>
                    <w:bottom w:val="none" w:sz="0" w:space="0" w:color="auto"/>
                    <w:right w:val="none" w:sz="0" w:space="0" w:color="auto"/>
                  </w:divBdr>
                  <w:divsChild>
                    <w:div w:id="546913619">
                      <w:marLeft w:val="-225"/>
                      <w:marRight w:val="-225"/>
                      <w:marTop w:val="0"/>
                      <w:marBottom w:val="0"/>
                      <w:divBdr>
                        <w:top w:val="none" w:sz="0" w:space="0" w:color="auto"/>
                        <w:left w:val="none" w:sz="0" w:space="0" w:color="auto"/>
                        <w:bottom w:val="none" w:sz="0" w:space="0" w:color="auto"/>
                        <w:right w:val="none" w:sz="0" w:space="0" w:color="auto"/>
                      </w:divBdr>
                      <w:divsChild>
                        <w:div w:id="1354528600">
                          <w:marLeft w:val="0"/>
                          <w:marRight w:val="0"/>
                          <w:marTop w:val="0"/>
                          <w:marBottom w:val="0"/>
                          <w:divBdr>
                            <w:top w:val="none" w:sz="0" w:space="0" w:color="auto"/>
                            <w:left w:val="none" w:sz="0" w:space="0" w:color="auto"/>
                            <w:bottom w:val="none" w:sz="0" w:space="0" w:color="auto"/>
                            <w:right w:val="none" w:sz="0" w:space="0" w:color="auto"/>
                          </w:divBdr>
                          <w:divsChild>
                            <w:div w:id="1029798185">
                              <w:marLeft w:val="0"/>
                              <w:marRight w:val="0"/>
                              <w:marTop w:val="0"/>
                              <w:marBottom w:val="0"/>
                              <w:divBdr>
                                <w:top w:val="none" w:sz="0" w:space="0" w:color="auto"/>
                                <w:left w:val="none" w:sz="0" w:space="0" w:color="auto"/>
                                <w:bottom w:val="none" w:sz="0" w:space="0" w:color="auto"/>
                                <w:right w:val="none" w:sz="0" w:space="0" w:color="auto"/>
                              </w:divBdr>
                              <w:divsChild>
                                <w:div w:id="1956448930">
                                  <w:marLeft w:val="0"/>
                                  <w:marRight w:val="0"/>
                                  <w:marTop w:val="0"/>
                                  <w:marBottom w:val="0"/>
                                  <w:divBdr>
                                    <w:top w:val="none" w:sz="0" w:space="0" w:color="auto"/>
                                    <w:left w:val="none" w:sz="0" w:space="0" w:color="auto"/>
                                    <w:bottom w:val="none" w:sz="0" w:space="0" w:color="auto"/>
                                    <w:right w:val="none" w:sz="0" w:space="0" w:color="auto"/>
                                  </w:divBdr>
                                </w:div>
                                <w:div w:id="20762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554756">
          <w:marLeft w:val="0"/>
          <w:marRight w:val="0"/>
          <w:marTop w:val="0"/>
          <w:marBottom w:val="0"/>
          <w:divBdr>
            <w:top w:val="none" w:sz="0" w:space="0" w:color="auto"/>
            <w:left w:val="none" w:sz="0" w:space="0" w:color="auto"/>
            <w:bottom w:val="none" w:sz="0" w:space="0" w:color="auto"/>
            <w:right w:val="none" w:sz="0" w:space="0" w:color="auto"/>
          </w:divBdr>
          <w:divsChild>
            <w:div w:id="1827429231">
              <w:marLeft w:val="0"/>
              <w:marRight w:val="0"/>
              <w:marTop w:val="0"/>
              <w:marBottom w:val="0"/>
              <w:divBdr>
                <w:top w:val="none" w:sz="0" w:space="0" w:color="auto"/>
                <w:left w:val="none" w:sz="0" w:space="0" w:color="auto"/>
                <w:bottom w:val="none" w:sz="0" w:space="0" w:color="auto"/>
                <w:right w:val="none" w:sz="0" w:space="0" w:color="auto"/>
              </w:divBdr>
              <w:divsChild>
                <w:div w:id="1844860383">
                  <w:marLeft w:val="0"/>
                  <w:marRight w:val="0"/>
                  <w:marTop w:val="0"/>
                  <w:marBottom w:val="0"/>
                  <w:divBdr>
                    <w:top w:val="none" w:sz="0" w:space="0" w:color="auto"/>
                    <w:left w:val="none" w:sz="0" w:space="0" w:color="auto"/>
                    <w:bottom w:val="none" w:sz="0" w:space="0" w:color="auto"/>
                    <w:right w:val="none" w:sz="0" w:space="0" w:color="auto"/>
                  </w:divBdr>
                  <w:divsChild>
                    <w:div w:id="363872834">
                      <w:marLeft w:val="-225"/>
                      <w:marRight w:val="-225"/>
                      <w:marTop w:val="0"/>
                      <w:marBottom w:val="0"/>
                      <w:divBdr>
                        <w:top w:val="none" w:sz="0" w:space="0" w:color="auto"/>
                        <w:left w:val="none" w:sz="0" w:space="0" w:color="auto"/>
                        <w:bottom w:val="none" w:sz="0" w:space="0" w:color="auto"/>
                        <w:right w:val="none" w:sz="0" w:space="0" w:color="auto"/>
                      </w:divBdr>
                      <w:divsChild>
                        <w:div w:id="110517248">
                          <w:marLeft w:val="0"/>
                          <w:marRight w:val="0"/>
                          <w:marTop w:val="0"/>
                          <w:marBottom w:val="0"/>
                          <w:divBdr>
                            <w:top w:val="none" w:sz="0" w:space="0" w:color="auto"/>
                            <w:left w:val="none" w:sz="0" w:space="0" w:color="auto"/>
                            <w:bottom w:val="none" w:sz="0" w:space="0" w:color="auto"/>
                            <w:right w:val="none" w:sz="0" w:space="0" w:color="auto"/>
                          </w:divBdr>
                          <w:divsChild>
                            <w:div w:id="611324219">
                              <w:marLeft w:val="0"/>
                              <w:marRight w:val="0"/>
                              <w:marTop w:val="0"/>
                              <w:marBottom w:val="0"/>
                              <w:divBdr>
                                <w:top w:val="none" w:sz="0" w:space="0" w:color="auto"/>
                                <w:left w:val="none" w:sz="0" w:space="0" w:color="auto"/>
                                <w:bottom w:val="none" w:sz="0" w:space="0" w:color="auto"/>
                                <w:right w:val="none" w:sz="0" w:space="0" w:color="auto"/>
                              </w:divBdr>
                              <w:divsChild>
                                <w:div w:id="1213735906">
                                  <w:marLeft w:val="-75"/>
                                  <w:marRight w:val="-75"/>
                                  <w:marTop w:val="0"/>
                                  <w:marBottom w:val="0"/>
                                  <w:divBdr>
                                    <w:top w:val="none" w:sz="0" w:space="0" w:color="auto"/>
                                    <w:left w:val="none" w:sz="0" w:space="0" w:color="auto"/>
                                    <w:bottom w:val="none" w:sz="0" w:space="0" w:color="auto"/>
                                    <w:right w:val="none" w:sz="0" w:space="0" w:color="auto"/>
                                  </w:divBdr>
                                  <w:divsChild>
                                    <w:div w:id="2027058056">
                                      <w:marLeft w:val="0"/>
                                      <w:marRight w:val="0"/>
                                      <w:marTop w:val="0"/>
                                      <w:marBottom w:val="0"/>
                                      <w:divBdr>
                                        <w:top w:val="none" w:sz="0" w:space="0" w:color="auto"/>
                                        <w:left w:val="none" w:sz="0" w:space="0" w:color="auto"/>
                                        <w:bottom w:val="none" w:sz="0" w:space="0" w:color="auto"/>
                                        <w:right w:val="none" w:sz="0" w:space="0" w:color="auto"/>
                                      </w:divBdr>
                                      <w:divsChild>
                                        <w:div w:id="953755107">
                                          <w:marLeft w:val="0"/>
                                          <w:marRight w:val="0"/>
                                          <w:marTop w:val="0"/>
                                          <w:marBottom w:val="0"/>
                                          <w:divBdr>
                                            <w:top w:val="none" w:sz="0" w:space="0" w:color="auto"/>
                                            <w:left w:val="none" w:sz="0" w:space="0" w:color="auto"/>
                                            <w:bottom w:val="none" w:sz="0" w:space="0" w:color="auto"/>
                                            <w:right w:val="none" w:sz="0" w:space="0" w:color="auto"/>
                                          </w:divBdr>
                                          <w:divsChild>
                                            <w:div w:id="1392344541">
                                              <w:marLeft w:val="0"/>
                                              <w:marRight w:val="0"/>
                                              <w:marTop w:val="225"/>
                                              <w:marBottom w:val="225"/>
                                              <w:divBdr>
                                                <w:top w:val="none" w:sz="0" w:space="0" w:color="auto"/>
                                                <w:left w:val="none" w:sz="0" w:space="0" w:color="auto"/>
                                                <w:bottom w:val="none" w:sz="0" w:space="0" w:color="auto"/>
                                                <w:right w:val="none" w:sz="0" w:space="0" w:color="auto"/>
                                              </w:divBdr>
                                              <w:divsChild>
                                                <w:div w:id="21178227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240862">
      <w:bodyDiv w:val="1"/>
      <w:marLeft w:val="0"/>
      <w:marRight w:val="0"/>
      <w:marTop w:val="0"/>
      <w:marBottom w:val="0"/>
      <w:divBdr>
        <w:top w:val="none" w:sz="0" w:space="0" w:color="auto"/>
        <w:left w:val="none" w:sz="0" w:space="0" w:color="auto"/>
        <w:bottom w:val="none" w:sz="0" w:space="0" w:color="auto"/>
        <w:right w:val="none" w:sz="0" w:space="0" w:color="auto"/>
      </w:divBdr>
    </w:div>
    <w:div w:id="1253201123">
      <w:bodyDiv w:val="1"/>
      <w:marLeft w:val="0"/>
      <w:marRight w:val="0"/>
      <w:marTop w:val="0"/>
      <w:marBottom w:val="0"/>
      <w:divBdr>
        <w:top w:val="none" w:sz="0" w:space="0" w:color="auto"/>
        <w:left w:val="none" w:sz="0" w:space="0" w:color="auto"/>
        <w:bottom w:val="none" w:sz="0" w:space="0" w:color="auto"/>
        <w:right w:val="none" w:sz="0" w:space="0" w:color="auto"/>
      </w:divBdr>
    </w:div>
    <w:div w:id="1320382900">
      <w:bodyDiv w:val="1"/>
      <w:marLeft w:val="0"/>
      <w:marRight w:val="0"/>
      <w:marTop w:val="0"/>
      <w:marBottom w:val="0"/>
      <w:divBdr>
        <w:top w:val="none" w:sz="0" w:space="0" w:color="auto"/>
        <w:left w:val="none" w:sz="0" w:space="0" w:color="auto"/>
        <w:bottom w:val="none" w:sz="0" w:space="0" w:color="auto"/>
        <w:right w:val="none" w:sz="0" w:space="0" w:color="auto"/>
      </w:divBdr>
    </w:div>
    <w:div w:id="1379013882">
      <w:bodyDiv w:val="1"/>
      <w:marLeft w:val="0"/>
      <w:marRight w:val="0"/>
      <w:marTop w:val="0"/>
      <w:marBottom w:val="0"/>
      <w:divBdr>
        <w:top w:val="none" w:sz="0" w:space="0" w:color="auto"/>
        <w:left w:val="none" w:sz="0" w:space="0" w:color="auto"/>
        <w:bottom w:val="none" w:sz="0" w:space="0" w:color="auto"/>
        <w:right w:val="none" w:sz="0" w:space="0" w:color="auto"/>
      </w:divBdr>
    </w:div>
    <w:div w:id="1427648146">
      <w:bodyDiv w:val="1"/>
      <w:marLeft w:val="0"/>
      <w:marRight w:val="0"/>
      <w:marTop w:val="0"/>
      <w:marBottom w:val="0"/>
      <w:divBdr>
        <w:top w:val="none" w:sz="0" w:space="0" w:color="auto"/>
        <w:left w:val="none" w:sz="0" w:space="0" w:color="auto"/>
        <w:bottom w:val="none" w:sz="0" w:space="0" w:color="auto"/>
        <w:right w:val="none" w:sz="0" w:space="0" w:color="auto"/>
      </w:divBdr>
    </w:div>
    <w:div w:id="1441026918">
      <w:bodyDiv w:val="1"/>
      <w:marLeft w:val="0"/>
      <w:marRight w:val="0"/>
      <w:marTop w:val="0"/>
      <w:marBottom w:val="0"/>
      <w:divBdr>
        <w:top w:val="none" w:sz="0" w:space="0" w:color="auto"/>
        <w:left w:val="none" w:sz="0" w:space="0" w:color="auto"/>
        <w:bottom w:val="none" w:sz="0" w:space="0" w:color="auto"/>
        <w:right w:val="none" w:sz="0" w:space="0" w:color="auto"/>
      </w:divBdr>
    </w:div>
    <w:div w:id="1464543099">
      <w:bodyDiv w:val="1"/>
      <w:marLeft w:val="0"/>
      <w:marRight w:val="0"/>
      <w:marTop w:val="0"/>
      <w:marBottom w:val="0"/>
      <w:divBdr>
        <w:top w:val="none" w:sz="0" w:space="0" w:color="auto"/>
        <w:left w:val="none" w:sz="0" w:space="0" w:color="auto"/>
        <w:bottom w:val="none" w:sz="0" w:space="0" w:color="auto"/>
        <w:right w:val="none" w:sz="0" w:space="0" w:color="auto"/>
      </w:divBdr>
    </w:div>
    <w:div w:id="1464810275">
      <w:bodyDiv w:val="1"/>
      <w:marLeft w:val="0"/>
      <w:marRight w:val="0"/>
      <w:marTop w:val="0"/>
      <w:marBottom w:val="0"/>
      <w:divBdr>
        <w:top w:val="none" w:sz="0" w:space="0" w:color="auto"/>
        <w:left w:val="none" w:sz="0" w:space="0" w:color="auto"/>
        <w:bottom w:val="none" w:sz="0" w:space="0" w:color="auto"/>
        <w:right w:val="none" w:sz="0" w:space="0" w:color="auto"/>
      </w:divBdr>
    </w:div>
    <w:div w:id="1470129352">
      <w:bodyDiv w:val="1"/>
      <w:marLeft w:val="0"/>
      <w:marRight w:val="0"/>
      <w:marTop w:val="0"/>
      <w:marBottom w:val="0"/>
      <w:divBdr>
        <w:top w:val="none" w:sz="0" w:space="0" w:color="auto"/>
        <w:left w:val="none" w:sz="0" w:space="0" w:color="auto"/>
        <w:bottom w:val="none" w:sz="0" w:space="0" w:color="auto"/>
        <w:right w:val="none" w:sz="0" w:space="0" w:color="auto"/>
      </w:divBdr>
    </w:div>
    <w:div w:id="1525367175">
      <w:bodyDiv w:val="1"/>
      <w:marLeft w:val="0"/>
      <w:marRight w:val="0"/>
      <w:marTop w:val="0"/>
      <w:marBottom w:val="0"/>
      <w:divBdr>
        <w:top w:val="none" w:sz="0" w:space="0" w:color="auto"/>
        <w:left w:val="none" w:sz="0" w:space="0" w:color="auto"/>
        <w:bottom w:val="none" w:sz="0" w:space="0" w:color="auto"/>
        <w:right w:val="none" w:sz="0" w:space="0" w:color="auto"/>
      </w:divBdr>
    </w:div>
    <w:div w:id="1550190150">
      <w:bodyDiv w:val="1"/>
      <w:marLeft w:val="0"/>
      <w:marRight w:val="0"/>
      <w:marTop w:val="0"/>
      <w:marBottom w:val="0"/>
      <w:divBdr>
        <w:top w:val="none" w:sz="0" w:space="0" w:color="auto"/>
        <w:left w:val="none" w:sz="0" w:space="0" w:color="auto"/>
        <w:bottom w:val="none" w:sz="0" w:space="0" w:color="auto"/>
        <w:right w:val="none" w:sz="0" w:space="0" w:color="auto"/>
      </w:divBdr>
    </w:div>
    <w:div w:id="1630938071">
      <w:bodyDiv w:val="1"/>
      <w:marLeft w:val="0"/>
      <w:marRight w:val="0"/>
      <w:marTop w:val="0"/>
      <w:marBottom w:val="0"/>
      <w:divBdr>
        <w:top w:val="none" w:sz="0" w:space="0" w:color="auto"/>
        <w:left w:val="none" w:sz="0" w:space="0" w:color="auto"/>
        <w:bottom w:val="none" w:sz="0" w:space="0" w:color="auto"/>
        <w:right w:val="none" w:sz="0" w:space="0" w:color="auto"/>
      </w:divBdr>
    </w:div>
    <w:div w:id="1710259000">
      <w:bodyDiv w:val="1"/>
      <w:marLeft w:val="0"/>
      <w:marRight w:val="0"/>
      <w:marTop w:val="0"/>
      <w:marBottom w:val="0"/>
      <w:divBdr>
        <w:top w:val="none" w:sz="0" w:space="0" w:color="auto"/>
        <w:left w:val="none" w:sz="0" w:space="0" w:color="auto"/>
        <w:bottom w:val="none" w:sz="0" w:space="0" w:color="auto"/>
        <w:right w:val="none" w:sz="0" w:space="0" w:color="auto"/>
      </w:divBdr>
    </w:div>
    <w:div w:id="1741518113">
      <w:bodyDiv w:val="1"/>
      <w:marLeft w:val="0"/>
      <w:marRight w:val="0"/>
      <w:marTop w:val="0"/>
      <w:marBottom w:val="0"/>
      <w:divBdr>
        <w:top w:val="none" w:sz="0" w:space="0" w:color="auto"/>
        <w:left w:val="none" w:sz="0" w:space="0" w:color="auto"/>
        <w:bottom w:val="none" w:sz="0" w:space="0" w:color="auto"/>
        <w:right w:val="none" w:sz="0" w:space="0" w:color="auto"/>
      </w:divBdr>
    </w:div>
    <w:div w:id="1801872410">
      <w:bodyDiv w:val="1"/>
      <w:marLeft w:val="0"/>
      <w:marRight w:val="0"/>
      <w:marTop w:val="0"/>
      <w:marBottom w:val="0"/>
      <w:divBdr>
        <w:top w:val="none" w:sz="0" w:space="0" w:color="auto"/>
        <w:left w:val="none" w:sz="0" w:space="0" w:color="auto"/>
        <w:bottom w:val="none" w:sz="0" w:space="0" w:color="auto"/>
        <w:right w:val="none" w:sz="0" w:space="0" w:color="auto"/>
      </w:divBdr>
    </w:div>
    <w:div w:id="1846700406">
      <w:bodyDiv w:val="1"/>
      <w:marLeft w:val="0"/>
      <w:marRight w:val="0"/>
      <w:marTop w:val="0"/>
      <w:marBottom w:val="0"/>
      <w:divBdr>
        <w:top w:val="none" w:sz="0" w:space="0" w:color="auto"/>
        <w:left w:val="none" w:sz="0" w:space="0" w:color="auto"/>
        <w:bottom w:val="none" w:sz="0" w:space="0" w:color="auto"/>
        <w:right w:val="none" w:sz="0" w:space="0" w:color="auto"/>
      </w:divBdr>
      <w:divsChild>
        <w:div w:id="497232662">
          <w:marLeft w:val="-225"/>
          <w:marRight w:val="-225"/>
          <w:marTop w:val="0"/>
          <w:marBottom w:val="0"/>
          <w:divBdr>
            <w:top w:val="none" w:sz="0" w:space="0" w:color="auto"/>
            <w:left w:val="none" w:sz="0" w:space="0" w:color="auto"/>
            <w:bottom w:val="none" w:sz="0" w:space="0" w:color="auto"/>
            <w:right w:val="none" w:sz="0" w:space="0" w:color="auto"/>
          </w:divBdr>
          <w:divsChild>
            <w:div w:id="5901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1714">
      <w:bodyDiv w:val="1"/>
      <w:marLeft w:val="0"/>
      <w:marRight w:val="0"/>
      <w:marTop w:val="0"/>
      <w:marBottom w:val="0"/>
      <w:divBdr>
        <w:top w:val="none" w:sz="0" w:space="0" w:color="auto"/>
        <w:left w:val="none" w:sz="0" w:space="0" w:color="auto"/>
        <w:bottom w:val="none" w:sz="0" w:space="0" w:color="auto"/>
        <w:right w:val="none" w:sz="0" w:space="0" w:color="auto"/>
      </w:divBdr>
    </w:div>
    <w:div w:id="1911573418">
      <w:bodyDiv w:val="1"/>
      <w:marLeft w:val="0"/>
      <w:marRight w:val="0"/>
      <w:marTop w:val="0"/>
      <w:marBottom w:val="0"/>
      <w:divBdr>
        <w:top w:val="none" w:sz="0" w:space="0" w:color="auto"/>
        <w:left w:val="none" w:sz="0" w:space="0" w:color="auto"/>
        <w:bottom w:val="none" w:sz="0" w:space="0" w:color="auto"/>
        <w:right w:val="none" w:sz="0" w:space="0" w:color="auto"/>
      </w:divBdr>
    </w:div>
    <w:div w:id="1933274972">
      <w:bodyDiv w:val="1"/>
      <w:marLeft w:val="0"/>
      <w:marRight w:val="0"/>
      <w:marTop w:val="0"/>
      <w:marBottom w:val="0"/>
      <w:divBdr>
        <w:top w:val="none" w:sz="0" w:space="0" w:color="auto"/>
        <w:left w:val="none" w:sz="0" w:space="0" w:color="auto"/>
        <w:bottom w:val="none" w:sz="0" w:space="0" w:color="auto"/>
        <w:right w:val="none" w:sz="0" w:space="0" w:color="auto"/>
      </w:divBdr>
    </w:div>
    <w:div w:id="2017994920">
      <w:bodyDiv w:val="1"/>
      <w:marLeft w:val="0"/>
      <w:marRight w:val="0"/>
      <w:marTop w:val="0"/>
      <w:marBottom w:val="0"/>
      <w:divBdr>
        <w:top w:val="none" w:sz="0" w:space="0" w:color="auto"/>
        <w:left w:val="none" w:sz="0" w:space="0" w:color="auto"/>
        <w:bottom w:val="none" w:sz="0" w:space="0" w:color="auto"/>
        <w:right w:val="none" w:sz="0" w:space="0" w:color="auto"/>
      </w:divBdr>
    </w:div>
    <w:div w:id="21130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718</Words>
  <Characters>4238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Kaufmann</dc:creator>
  <cp:keywords/>
  <dc:description/>
  <cp:lastModifiedBy>Mgr. Pavel Kaufmann</cp:lastModifiedBy>
  <cp:revision>9</cp:revision>
  <dcterms:created xsi:type="dcterms:W3CDTF">2025-04-08T09:17:00Z</dcterms:created>
  <dcterms:modified xsi:type="dcterms:W3CDTF">2025-04-23T22:38:00Z</dcterms:modified>
</cp:coreProperties>
</file>